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8" w:line="295" w:lineRule="auto"/>
        <w:ind w:left="111" w:right="2668" w:hanging="0.9999999999999964"/>
        <w:jc w:val="center"/>
        <w:rPr>
          <w:rFonts w:ascii="Calibri" w:cs="Calibri" w:eastAsia="Calibri" w:hAnsi="Calibri"/>
          <w:b w:val="1"/>
          <w:color w:val="231f20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highlight w:val="white"/>
          <w:rtl w:val="0"/>
        </w:rPr>
        <w:t xml:space="preserve">Przedmiotowe zasady oceniania </w:t>
      </w:r>
    </w:p>
    <w:p w:rsidR="00000000" w:rsidDel="00000000" w:rsidP="00000000" w:rsidRDefault="00000000" w:rsidRPr="00000000" w14:paraId="00000002">
      <w:pPr>
        <w:widowControl w:val="0"/>
        <w:spacing w:before="88" w:line="295" w:lineRule="auto"/>
        <w:ind w:left="111" w:right="2668" w:hanging="0.9999999999999964"/>
        <w:jc w:val="center"/>
        <w:rPr>
          <w:rFonts w:ascii="Calibri" w:cs="Calibri" w:eastAsia="Calibri" w:hAnsi="Calibri"/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highlight w:val="white"/>
          <w:rtl w:val="0"/>
        </w:rPr>
        <w:t xml:space="preserve">Geografia w szkole podstawowej klasy V, VI, VII, VIII</w:t>
      </w:r>
    </w:p>
    <w:p w:rsidR="00000000" w:rsidDel="00000000" w:rsidP="00000000" w:rsidRDefault="00000000" w:rsidRPr="00000000" w14:paraId="00000003">
      <w:pPr>
        <w:widowControl w:val="0"/>
        <w:spacing w:before="88" w:line="295" w:lineRule="auto"/>
        <w:ind w:left="111" w:right="2668" w:hanging="0.9999999999999964"/>
        <w:rPr>
          <w:rFonts w:ascii="Calibri" w:cs="Calibri" w:eastAsia="Calibri" w:hAnsi="Calibri"/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88" w:line="295" w:lineRule="auto"/>
        <w:ind w:left="111" w:right="2668" w:hanging="0.9999999999999964"/>
        <w:rPr>
          <w:rFonts w:ascii="Calibri" w:cs="Calibri" w:eastAsia="Calibri" w:hAnsi="Calibri"/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88" w:line="295" w:lineRule="auto"/>
        <w:ind w:left="111" w:right="2668" w:hanging="0.9999999999999964"/>
        <w:rPr>
          <w:rFonts w:ascii="Calibri" w:cs="Calibri" w:eastAsia="Calibri" w:hAnsi="Calibri"/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0" w:line="240" w:lineRule="auto"/>
        <w:rPr>
          <w:rFonts w:ascii="Calibri" w:cs="Calibri" w:eastAsia="Calibri" w:hAnsi="Calibri"/>
          <w:b w:val="1"/>
          <w:sz w:val="18"/>
          <w:szCs w:val="18"/>
        </w:rPr>
      </w:pPr>
      <w:bookmarkStart w:colFirst="0" w:colLast="0" w:name="_4dkwf4rks1bq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Formy i zasady bieżącego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" w:line="240" w:lineRule="auto"/>
        <w:rPr>
          <w:rFonts w:ascii="Calibri" w:cs="Calibri" w:eastAsia="Calibri" w:hAnsi="Calibri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8.0" w:type="dxa"/>
        <w:jc w:val="left"/>
        <w:tblInd w:w="5.0" w:type="dxa"/>
        <w:tblBorders>
          <w:top w:color="bcbec0" w:space="0" w:sz="4" w:val="single"/>
          <w:left w:color="bcbec0" w:space="0" w:sz="4" w:val="single"/>
          <w:bottom w:color="bcbec0" w:space="0" w:sz="4" w:val="single"/>
          <w:right w:color="bcbec0" w:space="0" w:sz="4" w:val="single"/>
          <w:insideH w:color="bcbec0" w:space="0" w:sz="4" w:val="single"/>
          <w:insideV w:color="bcbec0" w:space="0" w:sz="4" w:val="single"/>
        </w:tblBorders>
        <w:tblLayout w:type="fixed"/>
        <w:tblLook w:val="0000"/>
      </w:tblPr>
      <w:tblGrid>
        <w:gridCol w:w="1395"/>
        <w:gridCol w:w="2261"/>
        <w:gridCol w:w="2430"/>
        <w:gridCol w:w="3712"/>
        <w:tblGridChange w:id="0">
          <w:tblGrid>
            <w:gridCol w:w="1395"/>
            <w:gridCol w:w="2261"/>
            <w:gridCol w:w="2430"/>
            <w:gridCol w:w="3712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before="83" w:line="240" w:lineRule="auto"/>
              <w:ind w:left="3986" w:right="3986" w:firstLine="0"/>
              <w:jc w:val="center"/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  <w:rtl w:val="0"/>
              </w:rPr>
              <w:t xml:space="preserve">Prace pisemne w klasie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bottom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before="83" w:line="240" w:lineRule="auto"/>
              <w:ind w:left="444" w:firstLine="0"/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  <w:rtl w:val="0"/>
              </w:rPr>
              <w:t xml:space="preserve">Forma</w:t>
            </w:r>
          </w:p>
        </w:tc>
        <w:tc>
          <w:tcPr>
            <w:tcBorders>
              <w:bottom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before="83" w:line="240" w:lineRule="auto"/>
              <w:ind w:left="222" w:firstLine="0"/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  <w:rtl w:val="0"/>
              </w:rPr>
              <w:t xml:space="preserve">Zakres treści nauczania</w:t>
            </w:r>
          </w:p>
        </w:tc>
        <w:tc>
          <w:tcPr>
            <w:tcBorders>
              <w:bottom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before="83" w:line="240" w:lineRule="auto"/>
              <w:ind w:left="682" w:firstLine="0"/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  <w:rtl w:val="0"/>
              </w:rPr>
              <w:t xml:space="preserve">Częstotliwość</w:t>
            </w:r>
          </w:p>
        </w:tc>
        <w:tc>
          <w:tcPr>
            <w:tcBorders>
              <w:bottom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before="83" w:line="240" w:lineRule="auto"/>
              <w:ind w:left="896" w:firstLine="0"/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  <w:rtl w:val="0"/>
              </w:rPr>
              <w:t xml:space="preserve">Zasady przeprowadzania</w:t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before="55" w:line="235" w:lineRule="auto"/>
              <w:ind w:left="51" w:right="222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Prace klasowe (1 h lekcyjna)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before="56" w:line="235" w:lineRule="auto"/>
              <w:ind w:left="51" w:right="198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jeden dział obszerny lub dwa mniejsze działy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before="56" w:line="235" w:lineRule="auto"/>
              <w:ind w:left="51" w:right="130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przy 1 h tygodniowo co najmniej jedna praca klasowa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spacing w:before="56" w:line="235" w:lineRule="auto"/>
              <w:ind w:left="221" w:right="575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zapowiadane przynajmniej </w:t>
              <w:br w:type="textWrapping"/>
              <w:t xml:space="preserve">z tygodniowym wyprzedzeniem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left="221" w:right="704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informacja o pracy klasowej zanotowana wcześniej w dzienniku lekcyjnym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left="221" w:right="817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pracę klasową poprzedza powtórzenie materiału nauczania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before="60" w:line="235" w:lineRule="auto"/>
              <w:ind w:left="51" w:right="336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Sprawdziany (do 20 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before="61" w:line="235" w:lineRule="auto"/>
              <w:ind w:left="51" w:right="318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materiał nauczania z trzech ostatnich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before="61" w:line="235" w:lineRule="auto"/>
              <w:ind w:left="51" w:right="515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przy 1 h tygodniowo jeden sprawdzian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pos="222"/>
              </w:tabs>
              <w:spacing w:before="57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zapowiedziane z tygodniowym wyprzedzeniem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tcBorders>
              <w:bottom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before="83" w:line="240" w:lineRule="auto"/>
              <w:ind w:left="3986" w:right="3987" w:firstLine="0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  <w:rtl w:val="0"/>
              </w:rPr>
              <w:t xml:space="preserve">Prace pisemne w domu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before="55" w:line="235" w:lineRule="auto"/>
              <w:ind w:left="51" w:right="195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Pisemne prace domowe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before="56" w:line="235" w:lineRule="auto"/>
              <w:ind w:left="51" w:right="28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materiał nauczania </w:t>
              <w:br w:type="textWrapping"/>
              <w:t xml:space="preserve">z bieżącej lekcji lub przygotowanie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35" w:lineRule="auto"/>
              <w:ind w:left="51" w:right="36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materiału dotyczącego nowego tematu (nauczanie odwrócone)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before="56" w:line="235" w:lineRule="auto"/>
              <w:ind w:left="51" w:right="130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Przy 1 h tygodniowo jedna praca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222"/>
              </w:tabs>
              <w:spacing w:before="56" w:line="235" w:lineRule="auto"/>
              <w:ind w:left="51" w:right="280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zróżnicowane zadania zgodnie z realizowanym materiałem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before="60" w:line="235" w:lineRule="auto"/>
              <w:ind w:left="51" w:right="89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Prowadzenie zeszytu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before="57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zgodnie z tematami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before="57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nie mniej niż raz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left="221" w:right="320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zasady prowadzenia zeszytu ćwiczeń powinny zostać ustalone na pierwszej lekcji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left="221" w:right="867" w:hanging="17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ocenie podlega zarówno poprawność merytoryczna rozwiązywanych zadań, jak i estetyka oraz systematyczność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before="60" w:line="235" w:lineRule="auto"/>
              <w:ind w:left="51" w:right="502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Inne prace domowe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left="221" w:right="49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prace badawcze, obserwacje i hodowle wskazane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02" w:lineRule="auto"/>
              <w:ind w:left="22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w podstawie programowej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line="204" w:lineRule="auto"/>
              <w:ind w:left="221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zadania związane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04" w:lineRule="auto"/>
              <w:ind w:left="22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 projektami edukacyjnymi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before="2" w:line="235" w:lineRule="auto"/>
              <w:ind w:left="221" w:right="240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– wykonywanie plakatów, prezentacji multimedialnych do bieżącego materiału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before="57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raz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tabs>
                <w:tab w:val="left" w:pos="222"/>
              </w:tabs>
              <w:spacing w:before="57" w:line="206" w:lineRule="auto"/>
              <w:ind w:left="221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zadania przeznaczone do pracy w grupach lub kierowane do uczniów szczególnie zainteresowanych biologią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tcBorders>
              <w:bottom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before="83" w:line="240" w:lineRule="auto"/>
              <w:ind w:left="3986" w:right="3987" w:firstLine="0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8292f"/>
                <w:sz w:val="17"/>
                <w:szCs w:val="17"/>
                <w:rtl w:val="0"/>
              </w:rPr>
              <w:t xml:space="preserve">Odpowiedzi ustne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before="55" w:line="235" w:lineRule="auto"/>
              <w:ind w:left="51" w:right="355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Ustne sprawdzenie wiadomości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before="56" w:line="235" w:lineRule="auto"/>
              <w:ind w:left="51" w:right="318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materiał nauczania z trzech ostatnich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before="52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minimum jedna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b515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before="52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bez zapowiedzi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before="56" w:line="240" w:lineRule="auto"/>
              <w:ind w:left="51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Pytania aktywne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before="61" w:line="235" w:lineRule="auto"/>
              <w:ind w:left="51" w:right="558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lekcja bieżąca lub lekcje powtórzeniowe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before="57" w:line="206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częstotliwość dowolna,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2" w:line="235" w:lineRule="auto"/>
              <w:ind w:left="51" w:right="283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w zależności od predyspozycji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before="61" w:line="235" w:lineRule="auto"/>
              <w:ind w:left="51" w:right="664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uczniowie sami zgłaszają się </w:t>
              <w:br w:type="textWrapping"/>
              <w:t xml:space="preserve">do odpowiedzi lub są wyznaczani przez nauczyciela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before="60" w:line="235" w:lineRule="auto"/>
              <w:ind w:left="51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Referowanie pracy grupy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before="61" w:line="235" w:lineRule="auto"/>
              <w:ind w:left="51" w:right="558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lekcja bieżąca lub lekcje powtórzeniowe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before="61" w:line="235" w:lineRule="auto"/>
              <w:ind w:left="51" w:right="352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w zależności od metod pracy stosowanych na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before="61" w:line="235" w:lineRule="auto"/>
              <w:ind w:left="51" w:right="323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należy zwrócić uwagę na to, aby w kolejnym referowaniu wspólnych prac zmieniały się osoby referujące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before="56" w:line="240" w:lineRule="auto"/>
              <w:ind w:left="51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sz w:val="17"/>
                <w:szCs w:val="17"/>
                <w:rtl w:val="0"/>
              </w:rPr>
              <w:t xml:space="preserve">Praca na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before="57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bieżący materiał nauczania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before="57" w:line="240" w:lineRule="auto"/>
              <w:ind w:left="51" w:firstLine="0"/>
              <w:rPr>
                <w:rFonts w:ascii="Calibri" w:cs="Calibri" w:eastAsia="Calibri" w:hAnsi="Calibri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jedna lub dwie oceny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left="221" w:right="665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oceniane są aktywność, zaangażowanie, umiejętność pracy w grupie lub w parach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line="235" w:lineRule="auto"/>
              <w:ind w:left="221" w:right="93" w:hanging="17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17"/>
                <w:szCs w:val="17"/>
                <w:rtl w:val="0"/>
              </w:rPr>
              <w:t xml:space="preserve">w ocenianiu można uwzględnić ocenę koleżeńską lub samoocenę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35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35" w:lineRule="auto"/>
        <w:rPr>
          <w:rFonts w:ascii="Calibri" w:cs="Calibri" w:eastAsia="Calibri" w:hAnsi="Calibri"/>
          <w:sz w:val="17"/>
          <w:szCs w:val="17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keepNext w:val="0"/>
        <w:keepLines w:val="0"/>
        <w:widowControl w:val="0"/>
        <w:spacing w:after="0" w:before="0"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Pozostałe przedmiotowe zasady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tabs>
          <w:tab w:val="left" w:pos="338"/>
        </w:tabs>
        <w:spacing w:before="118" w:line="240" w:lineRule="auto"/>
        <w:ind w:left="337" w:hanging="227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Pisemne prace klasowe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593"/>
        </w:tabs>
        <w:spacing w:after="120" w:before="64" w:line="240" w:lineRule="auto"/>
        <w:ind w:left="284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Pisemne prace klasowe są obowiązkowe.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593"/>
        </w:tabs>
        <w:spacing w:after="120" w:line="249" w:lineRule="auto"/>
        <w:ind w:left="284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W przypadku nieobecności usprawiedliwionej uczeń musi napisać pracę klasową w ciągu dwóch tygodni od daty powrotu do szkoły. Jeżeli nieobecność jest nieusprawiedliwiona, uczeń przystępuje do pracy klasowej na pierwszej lekcji, na którą przyszedł.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593"/>
        </w:tabs>
        <w:spacing w:after="120" w:line="249" w:lineRule="auto"/>
        <w:ind w:left="284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Uczeń ma prawo raz w półroczu poprawić pracę klasową. Obie oceny są wpisywane do dziennika, a pod uwagę jest brana ocena poprawkowa, nawet jeśli jest niższa od poprawionej.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keepNext w:val="0"/>
        <w:keepLines w:val="0"/>
        <w:widowControl w:val="0"/>
        <w:numPr>
          <w:ilvl w:val="0"/>
          <w:numId w:val="5"/>
        </w:numPr>
        <w:tabs>
          <w:tab w:val="left" w:pos="338"/>
        </w:tabs>
        <w:spacing w:after="0" w:before="109" w:line="240" w:lineRule="auto"/>
        <w:ind w:left="337" w:hanging="2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Sprawdziany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64" w:line="240" w:lineRule="auto"/>
        <w:ind w:left="337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Nieobecność ucznia na sprawdzianie nie obliguje go do pisemnego zaliczenia danej partii materiału.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keepNext w:val="0"/>
        <w:keepLines w:val="0"/>
        <w:widowControl w:val="0"/>
        <w:numPr>
          <w:ilvl w:val="0"/>
          <w:numId w:val="5"/>
        </w:numPr>
        <w:tabs>
          <w:tab w:val="left" w:pos="338"/>
        </w:tabs>
        <w:spacing w:after="0" w:before="118" w:line="240" w:lineRule="auto"/>
        <w:ind w:left="337" w:hanging="2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Wymagania na poszczególne oceny szkolne z prac pisemnych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64" w:line="240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Od ucznia wymaga się uzyskania następujących wyników na poszczególne oceny: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7"/>
        </w:numPr>
        <w:spacing w:before="7" w:line="240" w:lineRule="auto"/>
        <w:ind w:left="709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100–90% – bardzo dobry,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7"/>
        </w:numPr>
        <w:spacing w:before="7" w:line="240" w:lineRule="auto"/>
        <w:ind w:left="70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89–71% – dobry,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7"/>
        </w:numPr>
        <w:spacing w:before="7" w:line="240" w:lineRule="auto"/>
        <w:ind w:left="709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70–50% – dostateczny,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7"/>
        </w:numPr>
        <w:spacing w:before="7" w:line="240" w:lineRule="auto"/>
        <w:ind w:left="709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49–31% – dopuszczający,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7"/>
        </w:numPr>
        <w:spacing w:before="7" w:line="240" w:lineRule="auto"/>
        <w:ind w:left="709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30–0% – niedostateczny.</w:t>
      </w:r>
    </w:p>
    <w:p w:rsidR="00000000" w:rsidDel="00000000" w:rsidP="00000000" w:rsidRDefault="00000000" w:rsidRPr="00000000" w14:paraId="00000056">
      <w:pPr>
        <w:pStyle w:val="Heading1"/>
        <w:keepNext w:val="0"/>
        <w:keepLines w:val="0"/>
        <w:widowControl w:val="0"/>
        <w:numPr>
          <w:ilvl w:val="0"/>
          <w:numId w:val="5"/>
        </w:numPr>
        <w:tabs>
          <w:tab w:val="left" w:pos="338"/>
        </w:tabs>
        <w:spacing w:after="0" w:before="118" w:line="240" w:lineRule="auto"/>
        <w:ind w:left="337" w:hanging="2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Odpowiedzi ustne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120" w:before="64" w:line="240" w:lineRule="auto"/>
        <w:ind w:left="284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Przy wystawianiu oceny za odpowiedź ustną nauczyciel jest zobowiązany do udzielenia uczniowi informacji zwrotnej.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20" w:before="7" w:line="249" w:lineRule="auto"/>
        <w:ind w:left="284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Uczeń ma prawo być nieprzygotowany do odpowiedzi ustnej bez usprawiedliwienia raz w półroczu. Nieprzygotowanie zgłasza nauczycielowi przed lekcją lub na jej początku, zanim nauczyciel wywoła go do odpowiedzi.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pos="9214"/>
        </w:tabs>
        <w:spacing w:after="120" w:line="249" w:lineRule="auto"/>
        <w:ind w:left="284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Kolejne nieprzygotowanie może zgłosić uczeń uczęszczający do dwóch szkół (np. muzycznej), w okresie odbywających się przesłuchań i egzaminów albo reprezentujący szkołę w ważnych konkursach artystycznych lub zawodach sportowych.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widowControl w:val="0"/>
        <w:numPr>
          <w:ilvl w:val="0"/>
          <w:numId w:val="5"/>
        </w:numPr>
        <w:tabs>
          <w:tab w:val="left" w:pos="338"/>
        </w:tabs>
        <w:spacing w:after="0" w:before="111" w:line="240" w:lineRule="auto"/>
        <w:ind w:left="337" w:hanging="2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Prace domowe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593"/>
        </w:tabs>
        <w:spacing w:after="120" w:before="64" w:line="240" w:lineRule="auto"/>
        <w:ind w:left="284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Uczeń ma prawo nie wykonać w półroczu jednej pracy, ale musi ją uzupełnić na następną lekcję.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widowControl w:val="0"/>
        <w:spacing w:after="0" w:before="0" w:line="240" w:lineRule="auto"/>
        <w:ind w:left="110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Sprawdzenie i ocenianie sumujące postępy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61" w:line="249" w:lineRule="auto"/>
        <w:ind w:left="110" w:right="-16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Podsumowaniem edukacyjnych osiągnięć ucznia w danym roku szkolnym są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ocena śródroczna </w:t>
      </w: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18"/>
          <w:szCs w:val="18"/>
          <w:rtl w:val="0"/>
        </w:rPr>
        <w:t xml:space="preserve">ocena roczna</w:t>
      </w:r>
      <w:r w:rsidDel="00000000" w:rsidR="00000000" w:rsidRPr="00000000">
        <w:rPr>
          <w:rFonts w:ascii="Calibri" w:cs="Calibri" w:eastAsia="Calibri" w:hAnsi="Calibri"/>
          <w:color w:val="231f20"/>
          <w:sz w:val="18"/>
          <w:szCs w:val="18"/>
          <w:rtl w:val="0"/>
        </w:rPr>
        <w:t xml:space="preserve">. Nauczyciel wystawia je po uwzględnieniu wszystkich form aktywności ucznia oraz wagi ocen cząstkowych.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1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88" w:line="295" w:lineRule="auto"/>
        <w:ind w:left="111" w:right="2668" w:hanging="0.9999999999999964"/>
        <w:rPr>
          <w:rFonts w:ascii="Calibri" w:cs="Calibri" w:eastAsia="Calibri" w:hAnsi="Calibri"/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CentSchbookEU-Normal"/>
  <w:font w:name="Noto Sans Symbols"/>
  <w:font w:name="Humanst521EU-Normal"/>
  <w:font w:name="CentSchbookE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21" w:hanging="170"/>
      </w:pPr>
      <w:rPr>
        <w:rFonts w:ascii="Humanst521EU-Normal" w:cs="Humanst521EU-Normal" w:eastAsia="Humanst521EU-Normal" w:hAnsi="Humanst521EU-Normal"/>
        <w:color w:val="231f20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70"/>
      </w:pPr>
      <w:rPr/>
    </w:lvl>
    <w:lvl w:ilvl="2">
      <w:start w:val="0"/>
      <w:numFmt w:val="bullet"/>
      <w:lvlText w:val="•"/>
      <w:lvlJc w:val="left"/>
      <w:pPr>
        <w:ind w:left="916" w:hanging="170"/>
      </w:pPr>
      <w:rPr/>
    </w:lvl>
    <w:lvl w:ilvl="3">
      <w:start w:val="0"/>
      <w:numFmt w:val="bullet"/>
      <w:lvlText w:val="•"/>
      <w:lvlJc w:val="left"/>
      <w:pPr>
        <w:ind w:left="1264" w:hanging="170"/>
      </w:pPr>
      <w:rPr/>
    </w:lvl>
    <w:lvl w:ilvl="4">
      <w:start w:val="0"/>
      <w:numFmt w:val="bullet"/>
      <w:lvlText w:val="•"/>
      <w:lvlJc w:val="left"/>
      <w:pPr>
        <w:ind w:left="1612" w:hanging="170"/>
      </w:pPr>
      <w:rPr/>
    </w:lvl>
    <w:lvl w:ilvl="5">
      <w:start w:val="0"/>
      <w:numFmt w:val="bullet"/>
      <w:lvlText w:val="•"/>
      <w:lvlJc w:val="left"/>
      <w:pPr>
        <w:ind w:left="1960" w:hanging="170"/>
      </w:pPr>
      <w:rPr/>
    </w:lvl>
    <w:lvl w:ilvl="6">
      <w:start w:val="0"/>
      <w:numFmt w:val="bullet"/>
      <w:lvlText w:val="•"/>
      <w:lvlJc w:val="left"/>
      <w:pPr>
        <w:ind w:left="2309" w:hanging="170"/>
      </w:pPr>
      <w:rPr/>
    </w:lvl>
    <w:lvl w:ilvl="7">
      <w:start w:val="0"/>
      <w:numFmt w:val="bullet"/>
      <w:lvlText w:val="•"/>
      <w:lvlJc w:val="left"/>
      <w:pPr>
        <w:ind w:left="2657" w:hanging="170"/>
      </w:pPr>
      <w:rPr/>
    </w:lvl>
    <w:lvl w:ilvl="8">
      <w:start w:val="0"/>
      <w:numFmt w:val="bullet"/>
      <w:lvlText w:val="•"/>
      <w:lvlJc w:val="left"/>
      <w:pPr>
        <w:ind w:left="3005" w:hanging="17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221" w:hanging="170"/>
      </w:pPr>
      <w:rPr>
        <w:rFonts w:ascii="Humanst521EU-Normal" w:cs="Humanst521EU-Normal" w:eastAsia="Humanst521EU-Normal" w:hAnsi="Humanst521EU-Normal"/>
        <w:color w:val="231f20"/>
        <w:sz w:val="17"/>
        <w:szCs w:val="17"/>
      </w:rPr>
    </w:lvl>
    <w:lvl w:ilvl="1">
      <w:start w:val="0"/>
      <w:numFmt w:val="bullet"/>
      <w:lvlText w:val="•"/>
      <w:lvlJc w:val="left"/>
      <w:pPr>
        <w:ind w:left="423" w:hanging="170.00000000000003"/>
      </w:pPr>
      <w:rPr/>
    </w:lvl>
    <w:lvl w:ilvl="2">
      <w:start w:val="0"/>
      <w:numFmt w:val="bullet"/>
      <w:lvlText w:val="•"/>
      <w:lvlJc w:val="left"/>
      <w:pPr>
        <w:ind w:left="626" w:hanging="170"/>
      </w:pPr>
      <w:rPr/>
    </w:lvl>
    <w:lvl w:ilvl="3">
      <w:start w:val="0"/>
      <w:numFmt w:val="bullet"/>
      <w:lvlText w:val="•"/>
      <w:lvlJc w:val="left"/>
      <w:pPr>
        <w:ind w:left="829" w:hanging="170"/>
      </w:pPr>
      <w:rPr/>
    </w:lvl>
    <w:lvl w:ilvl="4">
      <w:start w:val="0"/>
      <w:numFmt w:val="bullet"/>
      <w:lvlText w:val="•"/>
      <w:lvlJc w:val="left"/>
      <w:pPr>
        <w:ind w:left="1032" w:hanging="170"/>
      </w:pPr>
      <w:rPr/>
    </w:lvl>
    <w:lvl w:ilvl="5">
      <w:start w:val="0"/>
      <w:numFmt w:val="bullet"/>
      <w:lvlText w:val="•"/>
      <w:lvlJc w:val="left"/>
      <w:pPr>
        <w:ind w:left="1235" w:hanging="170"/>
      </w:pPr>
      <w:rPr/>
    </w:lvl>
    <w:lvl w:ilvl="6">
      <w:start w:val="0"/>
      <w:numFmt w:val="bullet"/>
      <w:lvlText w:val="•"/>
      <w:lvlJc w:val="left"/>
      <w:pPr>
        <w:ind w:left="1438" w:hanging="170"/>
      </w:pPr>
      <w:rPr/>
    </w:lvl>
    <w:lvl w:ilvl="7">
      <w:start w:val="0"/>
      <w:numFmt w:val="bullet"/>
      <w:lvlText w:val="•"/>
      <w:lvlJc w:val="left"/>
      <w:pPr>
        <w:ind w:left="1641" w:hanging="170"/>
      </w:pPr>
      <w:rPr/>
    </w:lvl>
    <w:lvl w:ilvl="8">
      <w:start w:val="0"/>
      <w:numFmt w:val="bullet"/>
      <w:lvlText w:val="•"/>
      <w:lvlJc w:val="left"/>
      <w:pPr>
        <w:ind w:left="1844" w:hanging="170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221" w:hanging="170"/>
      </w:pPr>
      <w:rPr>
        <w:rFonts w:ascii="Humanst521EU-Normal" w:cs="Humanst521EU-Normal" w:eastAsia="Humanst521EU-Normal" w:hAnsi="Humanst521EU-Normal"/>
        <w:color w:val="231f20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70"/>
      </w:pPr>
      <w:rPr/>
    </w:lvl>
    <w:lvl w:ilvl="2">
      <w:start w:val="0"/>
      <w:numFmt w:val="bullet"/>
      <w:lvlText w:val="•"/>
      <w:lvlJc w:val="left"/>
      <w:pPr>
        <w:ind w:left="916" w:hanging="170"/>
      </w:pPr>
      <w:rPr/>
    </w:lvl>
    <w:lvl w:ilvl="3">
      <w:start w:val="0"/>
      <w:numFmt w:val="bullet"/>
      <w:lvlText w:val="•"/>
      <w:lvlJc w:val="left"/>
      <w:pPr>
        <w:ind w:left="1264" w:hanging="170"/>
      </w:pPr>
      <w:rPr/>
    </w:lvl>
    <w:lvl w:ilvl="4">
      <w:start w:val="0"/>
      <w:numFmt w:val="bullet"/>
      <w:lvlText w:val="•"/>
      <w:lvlJc w:val="left"/>
      <w:pPr>
        <w:ind w:left="1612" w:hanging="170"/>
      </w:pPr>
      <w:rPr/>
    </w:lvl>
    <w:lvl w:ilvl="5">
      <w:start w:val="0"/>
      <w:numFmt w:val="bullet"/>
      <w:lvlText w:val="•"/>
      <w:lvlJc w:val="left"/>
      <w:pPr>
        <w:ind w:left="1960" w:hanging="170"/>
      </w:pPr>
      <w:rPr/>
    </w:lvl>
    <w:lvl w:ilvl="6">
      <w:start w:val="0"/>
      <w:numFmt w:val="bullet"/>
      <w:lvlText w:val="•"/>
      <w:lvlJc w:val="left"/>
      <w:pPr>
        <w:ind w:left="2309" w:hanging="170"/>
      </w:pPr>
      <w:rPr/>
    </w:lvl>
    <w:lvl w:ilvl="7">
      <w:start w:val="0"/>
      <w:numFmt w:val="bullet"/>
      <w:lvlText w:val="•"/>
      <w:lvlJc w:val="left"/>
      <w:pPr>
        <w:ind w:left="2657" w:hanging="170"/>
      </w:pPr>
      <w:rPr/>
    </w:lvl>
    <w:lvl w:ilvl="8">
      <w:start w:val="0"/>
      <w:numFmt w:val="bullet"/>
      <w:lvlText w:val="•"/>
      <w:lvlJc w:val="left"/>
      <w:pPr>
        <w:ind w:left="3005" w:hanging="170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221" w:hanging="170"/>
      </w:pPr>
      <w:rPr>
        <w:rFonts w:ascii="Humanst521EU-Normal" w:cs="Humanst521EU-Normal" w:eastAsia="Humanst521EU-Normal" w:hAnsi="Humanst521EU-Normal"/>
        <w:color w:val="231f20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70"/>
      </w:pPr>
      <w:rPr/>
    </w:lvl>
    <w:lvl w:ilvl="2">
      <w:start w:val="0"/>
      <w:numFmt w:val="bullet"/>
      <w:lvlText w:val="•"/>
      <w:lvlJc w:val="left"/>
      <w:pPr>
        <w:ind w:left="916" w:hanging="170"/>
      </w:pPr>
      <w:rPr/>
    </w:lvl>
    <w:lvl w:ilvl="3">
      <w:start w:val="0"/>
      <w:numFmt w:val="bullet"/>
      <w:lvlText w:val="•"/>
      <w:lvlJc w:val="left"/>
      <w:pPr>
        <w:ind w:left="1264" w:hanging="170"/>
      </w:pPr>
      <w:rPr/>
    </w:lvl>
    <w:lvl w:ilvl="4">
      <w:start w:val="0"/>
      <w:numFmt w:val="bullet"/>
      <w:lvlText w:val="•"/>
      <w:lvlJc w:val="left"/>
      <w:pPr>
        <w:ind w:left="1612" w:hanging="170"/>
      </w:pPr>
      <w:rPr/>
    </w:lvl>
    <w:lvl w:ilvl="5">
      <w:start w:val="0"/>
      <w:numFmt w:val="bullet"/>
      <w:lvlText w:val="•"/>
      <w:lvlJc w:val="left"/>
      <w:pPr>
        <w:ind w:left="1960" w:hanging="170"/>
      </w:pPr>
      <w:rPr/>
    </w:lvl>
    <w:lvl w:ilvl="6">
      <w:start w:val="0"/>
      <w:numFmt w:val="bullet"/>
      <w:lvlText w:val="•"/>
      <w:lvlJc w:val="left"/>
      <w:pPr>
        <w:ind w:left="2309" w:hanging="170"/>
      </w:pPr>
      <w:rPr/>
    </w:lvl>
    <w:lvl w:ilvl="7">
      <w:start w:val="0"/>
      <w:numFmt w:val="bullet"/>
      <w:lvlText w:val="•"/>
      <w:lvlJc w:val="left"/>
      <w:pPr>
        <w:ind w:left="2657" w:hanging="170"/>
      </w:pPr>
      <w:rPr/>
    </w:lvl>
    <w:lvl w:ilvl="8">
      <w:start w:val="0"/>
      <w:numFmt w:val="bullet"/>
      <w:lvlText w:val="•"/>
      <w:lvlJc w:val="left"/>
      <w:pPr>
        <w:ind w:left="3005" w:hanging="17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37" w:hanging="226.99999999999997"/>
      </w:pPr>
      <w:rPr>
        <w:rFonts w:ascii="CentSchbookEU" w:cs="CentSchbookEU" w:eastAsia="CentSchbookEU" w:hAnsi="CentSchbookEU"/>
        <w:b w:val="1"/>
        <w:color w:val="231f20"/>
        <w:sz w:val="18"/>
        <w:szCs w:val="18"/>
      </w:rPr>
    </w:lvl>
    <w:lvl w:ilvl="1">
      <w:start w:val="0"/>
      <w:numFmt w:val="bullet"/>
      <w:lvlText w:val="•"/>
      <w:lvlJc w:val="left"/>
      <w:pPr>
        <w:ind w:left="592" w:hanging="256"/>
      </w:pPr>
      <w:rPr>
        <w:rFonts w:ascii="CentSchbookEU-Normal" w:cs="CentSchbookEU-Normal" w:eastAsia="CentSchbookEU-Normal" w:hAnsi="CentSchbookEU-Normal"/>
        <w:color w:val="231f20"/>
        <w:sz w:val="18"/>
        <w:szCs w:val="18"/>
      </w:rPr>
    </w:lvl>
    <w:lvl w:ilvl="2">
      <w:start w:val="0"/>
      <w:numFmt w:val="bullet"/>
      <w:lvlText w:val="•"/>
      <w:lvlJc w:val="left"/>
      <w:pPr>
        <w:ind w:left="1742" w:hanging="256"/>
      </w:pPr>
      <w:rPr/>
    </w:lvl>
    <w:lvl w:ilvl="3">
      <w:start w:val="0"/>
      <w:numFmt w:val="bullet"/>
      <w:lvlText w:val="•"/>
      <w:lvlJc w:val="left"/>
      <w:pPr>
        <w:ind w:left="2884" w:hanging="256.00000000000045"/>
      </w:pPr>
      <w:rPr/>
    </w:lvl>
    <w:lvl w:ilvl="4">
      <w:start w:val="0"/>
      <w:numFmt w:val="bullet"/>
      <w:lvlText w:val="•"/>
      <w:lvlJc w:val="left"/>
      <w:pPr>
        <w:ind w:left="4027" w:hanging="256.00000000000045"/>
      </w:pPr>
      <w:rPr/>
    </w:lvl>
    <w:lvl w:ilvl="5">
      <w:start w:val="0"/>
      <w:numFmt w:val="bullet"/>
      <w:lvlText w:val="•"/>
      <w:lvlJc w:val="left"/>
      <w:pPr>
        <w:ind w:left="5169" w:hanging="256"/>
      </w:pPr>
      <w:rPr/>
    </w:lvl>
    <w:lvl w:ilvl="6">
      <w:start w:val="0"/>
      <w:numFmt w:val="bullet"/>
      <w:lvlText w:val="•"/>
      <w:lvlJc w:val="left"/>
      <w:pPr>
        <w:ind w:left="6312" w:hanging="256"/>
      </w:pPr>
      <w:rPr/>
    </w:lvl>
    <w:lvl w:ilvl="7">
      <w:start w:val="0"/>
      <w:numFmt w:val="bullet"/>
      <w:lvlText w:val="•"/>
      <w:lvlJc w:val="left"/>
      <w:pPr>
        <w:ind w:left="7454" w:hanging="256"/>
      </w:pPr>
      <w:rPr/>
    </w:lvl>
    <w:lvl w:ilvl="8">
      <w:start w:val="0"/>
      <w:numFmt w:val="bullet"/>
      <w:lvlText w:val="•"/>
      <w:lvlJc w:val="left"/>
      <w:pPr>
        <w:ind w:left="8597" w:hanging="256"/>
      </w:pPr>
      <w:rPr/>
    </w:lvl>
  </w:abstractNum>
  <w:abstractNum w:abstractNumId="6">
    <w:lvl w:ilvl="0">
      <w:start w:val="0"/>
      <w:numFmt w:val="bullet"/>
      <w:lvlText w:val="•"/>
      <w:lvlJc w:val="left"/>
      <w:pPr>
        <w:ind w:left="221" w:hanging="170"/>
      </w:pPr>
      <w:rPr>
        <w:rFonts w:ascii="Humanst521EU-Normal" w:cs="Humanst521EU-Normal" w:eastAsia="Humanst521EU-Normal" w:hAnsi="Humanst521EU-Normal"/>
        <w:color w:val="231f20"/>
        <w:sz w:val="17"/>
        <w:szCs w:val="17"/>
      </w:rPr>
    </w:lvl>
    <w:lvl w:ilvl="1">
      <w:start w:val="0"/>
      <w:numFmt w:val="bullet"/>
      <w:lvlText w:val="•"/>
      <w:lvlJc w:val="left"/>
      <w:pPr>
        <w:ind w:left="568" w:hanging="170"/>
      </w:pPr>
      <w:rPr/>
    </w:lvl>
    <w:lvl w:ilvl="2">
      <w:start w:val="0"/>
      <w:numFmt w:val="bullet"/>
      <w:lvlText w:val="•"/>
      <w:lvlJc w:val="left"/>
      <w:pPr>
        <w:ind w:left="916" w:hanging="170"/>
      </w:pPr>
      <w:rPr/>
    </w:lvl>
    <w:lvl w:ilvl="3">
      <w:start w:val="0"/>
      <w:numFmt w:val="bullet"/>
      <w:lvlText w:val="•"/>
      <w:lvlJc w:val="left"/>
      <w:pPr>
        <w:ind w:left="1264" w:hanging="170"/>
      </w:pPr>
      <w:rPr/>
    </w:lvl>
    <w:lvl w:ilvl="4">
      <w:start w:val="0"/>
      <w:numFmt w:val="bullet"/>
      <w:lvlText w:val="•"/>
      <w:lvlJc w:val="left"/>
      <w:pPr>
        <w:ind w:left="1612" w:hanging="170"/>
      </w:pPr>
      <w:rPr/>
    </w:lvl>
    <w:lvl w:ilvl="5">
      <w:start w:val="0"/>
      <w:numFmt w:val="bullet"/>
      <w:lvlText w:val="•"/>
      <w:lvlJc w:val="left"/>
      <w:pPr>
        <w:ind w:left="1960" w:hanging="170"/>
      </w:pPr>
      <w:rPr/>
    </w:lvl>
    <w:lvl w:ilvl="6">
      <w:start w:val="0"/>
      <w:numFmt w:val="bullet"/>
      <w:lvlText w:val="•"/>
      <w:lvlJc w:val="left"/>
      <w:pPr>
        <w:ind w:left="2309" w:hanging="170"/>
      </w:pPr>
      <w:rPr/>
    </w:lvl>
    <w:lvl w:ilvl="7">
      <w:start w:val="0"/>
      <w:numFmt w:val="bullet"/>
      <w:lvlText w:val="•"/>
      <w:lvlJc w:val="left"/>
      <w:pPr>
        <w:ind w:left="2657" w:hanging="170"/>
      </w:pPr>
      <w:rPr/>
    </w:lvl>
    <w:lvl w:ilvl="8">
      <w:start w:val="0"/>
      <w:numFmt w:val="bullet"/>
      <w:lvlText w:val="•"/>
      <w:lvlJc w:val="left"/>
      <w:pPr>
        <w:ind w:left="3005" w:hanging="17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